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21556" w14:textId="77777777" w:rsidR="00192038" w:rsidRDefault="00567CC1" w:rsidP="00FF2D11">
      <w:pPr>
        <w:pStyle w:val="NoSpacing"/>
        <w:jc w:val="both"/>
        <w:rPr>
          <w:b/>
          <w:sz w:val="20"/>
          <w:szCs w:val="20"/>
        </w:rPr>
      </w:pPr>
      <w:r w:rsidRPr="000821B7">
        <w:rPr>
          <w:b/>
          <w:sz w:val="20"/>
          <w:szCs w:val="20"/>
        </w:rPr>
        <w:t>Vaccinating Seafarers</w:t>
      </w:r>
    </w:p>
    <w:p w14:paraId="3A9ADCFC" w14:textId="77777777" w:rsidR="00192038" w:rsidRDefault="00192038" w:rsidP="00FF2D11">
      <w:pPr>
        <w:pStyle w:val="NoSpacing"/>
        <w:jc w:val="both"/>
        <w:rPr>
          <w:b/>
          <w:sz w:val="20"/>
          <w:szCs w:val="20"/>
        </w:rPr>
      </w:pPr>
    </w:p>
    <w:p w14:paraId="1A402234" w14:textId="7B00D5D8" w:rsidR="00567CC1" w:rsidRPr="000821B7" w:rsidRDefault="00567CC1" w:rsidP="00FF2D11">
      <w:pPr>
        <w:pStyle w:val="NoSpacing"/>
        <w:jc w:val="both"/>
        <w:rPr>
          <w:sz w:val="20"/>
          <w:szCs w:val="20"/>
        </w:rPr>
      </w:pPr>
      <w:r w:rsidRPr="000821B7">
        <w:rPr>
          <w:sz w:val="20"/>
          <w:szCs w:val="20"/>
        </w:rPr>
        <w:t xml:space="preserve">The </w:t>
      </w:r>
      <w:r w:rsidR="00E32AAA" w:rsidRPr="000821B7">
        <w:rPr>
          <w:sz w:val="20"/>
          <w:szCs w:val="20"/>
        </w:rPr>
        <w:t xml:space="preserve">shipping </w:t>
      </w:r>
      <w:r w:rsidRPr="000821B7">
        <w:rPr>
          <w:sz w:val="20"/>
          <w:szCs w:val="20"/>
        </w:rPr>
        <w:t>industry</w:t>
      </w:r>
      <w:r w:rsidR="00BE69A8">
        <w:rPr>
          <w:rStyle w:val="FootnoteReference"/>
          <w:sz w:val="20"/>
          <w:szCs w:val="20"/>
        </w:rPr>
        <w:footnoteReference w:id="1"/>
      </w:r>
      <w:r w:rsidR="00BE69A8">
        <w:rPr>
          <w:sz w:val="20"/>
          <w:szCs w:val="20"/>
        </w:rPr>
        <w:t xml:space="preserve"> </w:t>
      </w:r>
      <w:r w:rsidR="00E32AAA" w:rsidRPr="000821B7">
        <w:rPr>
          <w:sz w:val="20"/>
          <w:szCs w:val="20"/>
        </w:rPr>
        <w:t xml:space="preserve">is once again </w:t>
      </w:r>
      <w:r w:rsidR="00717915" w:rsidRPr="000821B7">
        <w:rPr>
          <w:sz w:val="20"/>
          <w:szCs w:val="20"/>
        </w:rPr>
        <w:t xml:space="preserve">collaborating </w:t>
      </w:r>
      <w:r w:rsidRPr="000821B7">
        <w:rPr>
          <w:sz w:val="20"/>
          <w:szCs w:val="20"/>
        </w:rPr>
        <w:t>to ensur</w:t>
      </w:r>
      <w:r w:rsidR="00BA1826" w:rsidRPr="000821B7">
        <w:rPr>
          <w:sz w:val="20"/>
          <w:szCs w:val="20"/>
        </w:rPr>
        <w:t>e</w:t>
      </w:r>
      <w:r w:rsidRPr="000821B7">
        <w:rPr>
          <w:sz w:val="20"/>
          <w:szCs w:val="20"/>
        </w:rPr>
        <w:t xml:space="preserve"> that seafarers are protected against the COVID-19 disease. A </w:t>
      </w:r>
      <w:r w:rsidR="00E32AAA" w:rsidRPr="000821B7">
        <w:rPr>
          <w:sz w:val="20"/>
          <w:szCs w:val="20"/>
        </w:rPr>
        <w:t>V</w:t>
      </w:r>
      <w:r w:rsidRPr="000821B7">
        <w:rPr>
          <w:sz w:val="20"/>
          <w:szCs w:val="20"/>
        </w:rPr>
        <w:t>accin</w:t>
      </w:r>
      <w:r w:rsidR="00E32AAA" w:rsidRPr="000821B7">
        <w:rPr>
          <w:sz w:val="20"/>
          <w:szCs w:val="20"/>
        </w:rPr>
        <w:t>ations</w:t>
      </w:r>
      <w:r w:rsidRPr="000821B7">
        <w:rPr>
          <w:sz w:val="20"/>
          <w:szCs w:val="20"/>
        </w:rPr>
        <w:t xml:space="preserve"> </w:t>
      </w:r>
      <w:r w:rsidR="00E32AAA" w:rsidRPr="000821B7">
        <w:rPr>
          <w:sz w:val="20"/>
          <w:szCs w:val="20"/>
        </w:rPr>
        <w:t>T</w:t>
      </w:r>
      <w:r w:rsidRPr="000821B7">
        <w:rPr>
          <w:sz w:val="20"/>
          <w:szCs w:val="20"/>
        </w:rPr>
        <w:t xml:space="preserve">ask </w:t>
      </w:r>
      <w:r w:rsidR="00E32AAA" w:rsidRPr="000821B7">
        <w:rPr>
          <w:sz w:val="20"/>
          <w:szCs w:val="20"/>
        </w:rPr>
        <w:t>F</w:t>
      </w:r>
      <w:r w:rsidRPr="000821B7">
        <w:rPr>
          <w:sz w:val="20"/>
          <w:szCs w:val="20"/>
        </w:rPr>
        <w:t xml:space="preserve">orce is developing best practice guidance </w:t>
      </w:r>
      <w:r w:rsidR="0061218B" w:rsidRPr="000821B7">
        <w:rPr>
          <w:sz w:val="20"/>
          <w:szCs w:val="20"/>
        </w:rPr>
        <w:t xml:space="preserve">in order </w:t>
      </w:r>
      <w:r w:rsidR="006C39AB" w:rsidRPr="000821B7">
        <w:rPr>
          <w:sz w:val="20"/>
          <w:szCs w:val="20"/>
        </w:rPr>
        <w:t>to:</w:t>
      </w:r>
    </w:p>
    <w:p w14:paraId="0874D569" w14:textId="77777777" w:rsidR="006C39AB" w:rsidRPr="000821B7" w:rsidRDefault="006C39AB" w:rsidP="00FF2D11">
      <w:pPr>
        <w:pStyle w:val="NoSpacing"/>
        <w:jc w:val="both"/>
        <w:rPr>
          <w:sz w:val="20"/>
          <w:szCs w:val="20"/>
        </w:rPr>
      </w:pPr>
    </w:p>
    <w:p w14:paraId="34926E5A" w14:textId="5D177469" w:rsidR="00C12344" w:rsidRPr="000821B7" w:rsidRDefault="0061218B" w:rsidP="00FF2D11">
      <w:pPr>
        <w:pStyle w:val="NoSpacing"/>
        <w:numPr>
          <w:ilvl w:val="0"/>
          <w:numId w:val="27"/>
        </w:numPr>
        <w:jc w:val="both"/>
        <w:rPr>
          <w:sz w:val="20"/>
          <w:szCs w:val="20"/>
        </w:rPr>
      </w:pPr>
      <w:r w:rsidRPr="000821B7">
        <w:rPr>
          <w:sz w:val="20"/>
          <w:szCs w:val="20"/>
        </w:rPr>
        <w:t xml:space="preserve">Ensure </w:t>
      </w:r>
      <w:r w:rsidR="00C12344" w:rsidRPr="000821B7">
        <w:rPr>
          <w:sz w:val="20"/>
          <w:szCs w:val="20"/>
        </w:rPr>
        <w:t xml:space="preserve">a pragmatic approach </w:t>
      </w:r>
      <w:r w:rsidRPr="000821B7">
        <w:rPr>
          <w:sz w:val="20"/>
          <w:szCs w:val="20"/>
        </w:rPr>
        <w:t xml:space="preserve">is taken by Governments </w:t>
      </w:r>
      <w:r w:rsidR="00C12344" w:rsidRPr="000821B7">
        <w:rPr>
          <w:sz w:val="20"/>
          <w:szCs w:val="20"/>
        </w:rPr>
        <w:t>to seafarer inoculations</w:t>
      </w:r>
      <w:r w:rsidR="00BA1826" w:rsidRPr="000821B7">
        <w:rPr>
          <w:sz w:val="20"/>
          <w:szCs w:val="20"/>
        </w:rPr>
        <w:t>;</w:t>
      </w:r>
    </w:p>
    <w:p w14:paraId="70A033BB" w14:textId="67D9C393" w:rsidR="00C12344" w:rsidRPr="000821B7" w:rsidRDefault="00C12344" w:rsidP="00FF2D11">
      <w:pPr>
        <w:pStyle w:val="NoSpacing"/>
        <w:numPr>
          <w:ilvl w:val="0"/>
          <w:numId w:val="27"/>
        </w:numPr>
        <w:jc w:val="both"/>
        <w:rPr>
          <w:sz w:val="20"/>
          <w:szCs w:val="20"/>
        </w:rPr>
      </w:pPr>
      <w:r w:rsidRPr="008D1508">
        <w:rPr>
          <w:sz w:val="20"/>
          <w:szCs w:val="20"/>
        </w:rPr>
        <w:t xml:space="preserve">Develop </w:t>
      </w:r>
      <w:r w:rsidR="008B0FA9" w:rsidRPr="008D1508">
        <w:rPr>
          <w:sz w:val="20"/>
          <w:szCs w:val="20"/>
        </w:rPr>
        <w:t>guidelines</w:t>
      </w:r>
      <w:r w:rsidRPr="008D1508">
        <w:rPr>
          <w:sz w:val="20"/>
          <w:szCs w:val="20"/>
        </w:rPr>
        <w:t xml:space="preserve"> setting ou</w:t>
      </w:r>
      <w:r w:rsidR="00606FF8" w:rsidRPr="008D1508">
        <w:rPr>
          <w:sz w:val="20"/>
          <w:szCs w:val="20"/>
        </w:rPr>
        <w:t>t</w:t>
      </w:r>
      <w:r w:rsidRPr="008D1508">
        <w:rPr>
          <w:sz w:val="20"/>
          <w:szCs w:val="20"/>
        </w:rPr>
        <w:t xml:space="preserve"> all the steps necessary to implement a vaccination programme for seafarers</w:t>
      </w:r>
      <w:r w:rsidR="00BA1826" w:rsidRPr="000821B7">
        <w:rPr>
          <w:sz w:val="20"/>
          <w:szCs w:val="20"/>
        </w:rPr>
        <w:t>; and</w:t>
      </w:r>
    </w:p>
    <w:p w14:paraId="3E9F22A2" w14:textId="2041479E" w:rsidR="008D72AE" w:rsidRPr="000821B7" w:rsidRDefault="008D72AE" w:rsidP="00FF2D11">
      <w:pPr>
        <w:pStyle w:val="NoSpacing"/>
        <w:numPr>
          <w:ilvl w:val="0"/>
          <w:numId w:val="27"/>
        </w:numPr>
        <w:jc w:val="both"/>
        <w:rPr>
          <w:sz w:val="20"/>
          <w:szCs w:val="20"/>
        </w:rPr>
      </w:pPr>
      <w:r w:rsidRPr="000821B7">
        <w:rPr>
          <w:sz w:val="20"/>
          <w:szCs w:val="20"/>
        </w:rPr>
        <w:t>Address the legal liabilities for shipowners arising from vaccinations.</w:t>
      </w:r>
    </w:p>
    <w:p w14:paraId="296CECAC" w14:textId="77777777" w:rsidR="00567CC1" w:rsidRPr="000821B7" w:rsidRDefault="00567CC1" w:rsidP="00FF2D11">
      <w:pPr>
        <w:pStyle w:val="NoSpacing"/>
        <w:jc w:val="both"/>
        <w:rPr>
          <w:sz w:val="20"/>
          <w:szCs w:val="20"/>
        </w:rPr>
      </w:pPr>
    </w:p>
    <w:p w14:paraId="52C05CC6" w14:textId="00B67371" w:rsidR="00567CC1" w:rsidRPr="000821B7" w:rsidRDefault="00192038" w:rsidP="00FF2D11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principles </w:t>
      </w:r>
      <w:r w:rsidR="00DC494F" w:rsidRPr="000821B7">
        <w:rPr>
          <w:sz w:val="20"/>
          <w:szCs w:val="20"/>
        </w:rPr>
        <w:t xml:space="preserve">adopted recognise </w:t>
      </w:r>
      <w:r w:rsidR="00567CC1" w:rsidRPr="000821B7">
        <w:rPr>
          <w:sz w:val="20"/>
          <w:szCs w:val="20"/>
        </w:rPr>
        <w:t>that:</w:t>
      </w:r>
    </w:p>
    <w:p w14:paraId="38B3ED0D" w14:textId="77777777" w:rsidR="00567CC1" w:rsidRPr="000821B7" w:rsidRDefault="00567CC1" w:rsidP="00FF2D11">
      <w:pPr>
        <w:pStyle w:val="NoSpacing"/>
        <w:jc w:val="both"/>
        <w:rPr>
          <w:sz w:val="20"/>
          <w:szCs w:val="20"/>
        </w:rPr>
      </w:pPr>
    </w:p>
    <w:p w14:paraId="6999CC62" w14:textId="1C4DAC01" w:rsidR="00567CC1" w:rsidRPr="000821B7" w:rsidRDefault="00457557" w:rsidP="00FF2D11">
      <w:pPr>
        <w:pStyle w:val="NoSpacing"/>
        <w:numPr>
          <w:ilvl w:val="0"/>
          <w:numId w:val="25"/>
        </w:numPr>
        <w:jc w:val="both"/>
        <w:rPr>
          <w:sz w:val="20"/>
          <w:szCs w:val="20"/>
        </w:rPr>
      </w:pPr>
      <w:r w:rsidRPr="000821B7">
        <w:rPr>
          <w:sz w:val="20"/>
          <w:szCs w:val="20"/>
        </w:rPr>
        <w:t>S</w:t>
      </w:r>
      <w:r w:rsidR="00836B11" w:rsidRPr="000821B7">
        <w:rPr>
          <w:sz w:val="20"/>
          <w:szCs w:val="20"/>
        </w:rPr>
        <w:t xml:space="preserve">eafarers have been </w:t>
      </w:r>
      <w:r w:rsidR="00F96CEA">
        <w:rPr>
          <w:sz w:val="20"/>
          <w:szCs w:val="20"/>
        </w:rPr>
        <w:t>recognised</w:t>
      </w:r>
      <w:r w:rsidR="00F96CEA" w:rsidRPr="000821B7">
        <w:rPr>
          <w:sz w:val="20"/>
          <w:szCs w:val="20"/>
        </w:rPr>
        <w:t xml:space="preserve"> </w:t>
      </w:r>
      <w:r w:rsidRPr="000821B7">
        <w:rPr>
          <w:sz w:val="20"/>
          <w:szCs w:val="20"/>
        </w:rPr>
        <w:t xml:space="preserve">by UN bodies </w:t>
      </w:r>
      <w:r w:rsidR="00836B11" w:rsidRPr="000821B7">
        <w:rPr>
          <w:sz w:val="20"/>
          <w:szCs w:val="20"/>
        </w:rPr>
        <w:t>as ‘key workers</w:t>
      </w:r>
      <w:r w:rsidR="00B27BCC" w:rsidRPr="000821B7">
        <w:rPr>
          <w:sz w:val="20"/>
          <w:szCs w:val="20"/>
        </w:rPr>
        <w:t>’</w:t>
      </w:r>
      <w:r w:rsidRPr="000821B7">
        <w:rPr>
          <w:sz w:val="20"/>
          <w:szCs w:val="20"/>
        </w:rPr>
        <w:t xml:space="preserve"> and</w:t>
      </w:r>
      <w:r w:rsidR="00836B11" w:rsidRPr="000821B7">
        <w:rPr>
          <w:sz w:val="20"/>
          <w:szCs w:val="20"/>
        </w:rPr>
        <w:t xml:space="preserve">, </w:t>
      </w:r>
      <w:r w:rsidR="002D3AEE" w:rsidRPr="000821B7">
        <w:rPr>
          <w:sz w:val="20"/>
          <w:szCs w:val="20"/>
        </w:rPr>
        <w:t xml:space="preserve">as such, </w:t>
      </w:r>
      <w:r w:rsidR="00B27BCC" w:rsidRPr="000821B7">
        <w:rPr>
          <w:sz w:val="20"/>
          <w:szCs w:val="20"/>
        </w:rPr>
        <w:t>countries</w:t>
      </w:r>
      <w:r w:rsidR="00567CC1" w:rsidRPr="000821B7">
        <w:rPr>
          <w:sz w:val="20"/>
          <w:szCs w:val="20"/>
        </w:rPr>
        <w:t xml:space="preserve"> should vaccinate seafarers at the earliest </w:t>
      </w:r>
      <w:r w:rsidR="00836B11" w:rsidRPr="000821B7">
        <w:rPr>
          <w:sz w:val="20"/>
          <w:szCs w:val="20"/>
        </w:rPr>
        <w:t>possible opportunity</w:t>
      </w:r>
      <w:r w:rsidR="003A605A" w:rsidRPr="000821B7">
        <w:rPr>
          <w:sz w:val="20"/>
          <w:szCs w:val="20"/>
        </w:rPr>
        <w:t>;</w:t>
      </w:r>
    </w:p>
    <w:p w14:paraId="4C42C270" w14:textId="72777284" w:rsidR="00567CC1" w:rsidRPr="000821B7" w:rsidRDefault="00567CC1" w:rsidP="00FF2D11">
      <w:pPr>
        <w:pStyle w:val="NoSpacing"/>
        <w:numPr>
          <w:ilvl w:val="0"/>
          <w:numId w:val="25"/>
        </w:numPr>
        <w:jc w:val="both"/>
        <w:rPr>
          <w:sz w:val="20"/>
          <w:szCs w:val="20"/>
        </w:rPr>
      </w:pPr>
      <w:r w:rsidRPr="000821B7">
        <w:rPr>
          <w:sz w:val="20"/>
          <w:szCs w:val="20"/>
        </w:rPr>
        <w:t xml:space="preserve">Seafarers should be encouraged to </w:t>
      </w:r>
      <w:r w:rsidR="005A1A08" w:rsidRPr="000821B7">
        <w:rPr>
          <w:sz w:val="20"/>
          <w:szCs w:val="20"/>
        </w:rPr>
        <w:t xml:space="preserve">be </w:t>
      </w:r>
      <w:r w:rsidRPr="000821B7">
        <w:rPr>
          <w:sz w:val="20"/>
          <w:szCs w:val="20"/>
        </w:rPr>
        <w:t>vaccin</w:t>
      </w:r>
      <w:r w:rsidR="005A1A08" w:rsidRPr="000821B7">
        <w:rPr>
          <w:sz w:val="20"/>
          <w:szCs w:val="20"/>
        </w:rPr>
        <w:t>ate</w:t>
      </w:r>
      <w:r w:rsidR="003A605A" w:rsidRPr="000821B7">
        <w:rPr>
          <w:sz w:val="20"/>
          <w:szCs w:val="20"/>
        </w:rPr>
        <w:t>d</w:t>
      </w:r>
      <w:r w:rsidR="005A1A08" w:rsidRPr="000821B7">
        <w:rPr>
          <w:sz w:val="20"/>
          <w:szCs w:val="20"/>
        </w:rPr>
        <w:t xml:space="preserve"> whe</w:t>
      </w:r>
      <w:r w:rsidR="003A605A" w:rsidRPr="000821B7">
        <w:rPr>
          <w:sz w:val="20"/>
          <w:szCs w:val="20"/>
        </w:rPr>
        <w:t xml:space="preserve">n offered the </w:t>
      </w:r>
      <w:r w:rsidR="002D3AEE" w:rsidRPr="000821B7">
        <w:rPr>
          <w:sz w:val="20"/>
          <w:szCs w:val="20"/>
        </w:rPr>
        <w:t>opportunity</w:t>
      </w:r>
      <w:r w:rsidR="003A605A" w:rsidRPr="000821B7">
        <w:rPr>
          <w:sz w:val="20"/>
          <w:szCs w:val="20"/>
        </w:rPr>
        <w:t>;</w:t>
      </w:r>
    </w:p>
    <w:p w14:paraId="382A1FAD" w14:textId="3B1B24C7" w:rsidR="00567CC1" w:rsidRDefault="003A605A" w:rsidP="00FF2D11">
      <w:pPr>
        <w:pStyle w:val="NoSpacing"/>
        <w:numPr>
          <w:ilvl w:val="0"/>
          <w:numId w:val="25"/>
        </w:numPr>
        <w:jc w:val="both"/>
        <w:rPr>
          <w:sz w:val="20"/>
          <w:szCs w:val="20"/>
        </w:rPr>
      </w:pPr>
      <w:r w:rsidRPr="000821B7">
        <w:rPr>
          <w:sz w:val="20"/>
          <w:szCs w:val="20"/>
        </w:rPr>
        <w:t xml:space="preserve">Only </w:t>
      </w:r>
      <w:r w:rsidR="00E32AAA" w:rsidRPr="000821B7">
        <w:rPr>
          <w:sz w:val="20"/>
          <w:szCs w:val="20"/>
        </w:rPr>
        <w:t xml:space="preserve">vaccines on the </w:t>
      </w:r>
      <w:r w:rsidR="00567CC1" w:rsidRPr="000821B7">
        <w:rPr>
          <w:sz w:val="20"/>
          <w:szCs w:val="20"/>
        </w:rPr>
        <w:t>WHO</w:t>
      </w:r>
      <w:r w:rsidR="00E32AAA" w:rsidRPr="000821B7">
        <w:rPr>
          <w:sz w:val="20"/>
          <w:szCs w:val="20"/>
        </w:rPr>
        <w:t>’s</w:t>
      </w:r>
      <w:r w:rsidR="00567CC1" w:rsidRPr="000821B7">
        <w:rPr>
          <w:sz w:val="20"/>
          <w:szCs w:val="20"/>
        </w:rPr>
        <w:t xml:space="preserve"> </w:t>
      </w:r>
      <w:r w:rsidR="00E32AAA" w:rsidRPr="000821B7">
        <w:rPr>
          <w:sz w:val="20"/>
          <w:szCs w:val="20"/>
        </w:rPr>
        <w:t>Emergency Use List (EUL)</w:t>
      </w:r>
      <w:r w:rsidR="00567CC1" w:rsidRPr="000821B7">
        <w:rPr>
          <w:sz w:val="20"/>
          <w:szCs w:val="20"/>
        </w:rPr>
        <w:t xml:space="preserve"> should be</w:t>
      </w:r>
      <w:r w:rsidR="002B2526" w:rsidRPr="000821B7">
        <w:rPr>
          <w:sz w:val="20"/>
          <w:szCs w:val="20"/>
        </w:rPr>
        <w:t xml:space="preserve"> </w:t>
      </w:r>
      <w:r w:rsidR="00192038">
        <w:rPr>
          <w:sz w:val="20"/>
          <w:szCs w:val="20"/>
        </w:rPr>
        <w:t>used</w:t>
      </w:r>
      <w:r w:rsidR="00B27BCC" w:rsidRPr="000821B7">
        <w:rPr>
          <w:sz w:val="20"/>
          <w:szCs w:val="20"/>
        </w:rPr>
        <w:t>; and</w:t>
      </w:r>
    </w:p>
    <w:p w14:paraId="093AFD48" w14:textId="2BE10B2C" w:rsidR="00567CC1" w:rsidRDefault="004859F9" w:rsidP="00F8207C">
      <w:pPr>
        <w:pStyle w:val="NoSpacing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Vaccinated seafarers should be provided with internationally accepted documentation containing standard information that can be used to verify the vaccination.</w:t>
      </w:r>
    </w:p>
    <w:p w14:paraId="6F150DEB" w14:textId="77777777" w:rsidR="004859F9" w:rsidRPr="000821B7" w:rsidRDefault="004859F9" w:rsidP="00FF2D11">
      <w:pPr>
        <w:pStyle w:val="NoSpacing"/>
        <w:jc w:val="both"/>
        <w:rPr>
          <w:sz w:val="20"/>
          <w:szCs w:val="20"/>
        </w:rPr>
      </w:pPr>
    </w:p>
    <w:p w14:paraId="59F32FA4" w14:textId="594CC47F" w:rsidR="00192038" w:rsidRDefault="00567CC1" w:rsidP="00FF2D11">
      <w:pPr>
        <w:jc w:val="both"/>
        <w:rPr>
          <w:sz w:val="20"/>
          <w:szCs w:val="20"/>
        </w:rPr>
      </w:pPr>
      <w:r w:rsidRPr="000821B7">
        <w:rPr>
          <w:sz w:val="20"/>
          <w:szCs w:val="20"/>
        </w:rPr>
        <w:t xml:space="preserve">The </w:t>
      </w:r>
      <w:r w:rsidR="00B27BCC" w:rsidRPr="000821B7">
        <w:rPr>
          <w:sz w:val="20"/>
          <w:szCs w:val="20"/>
        </w:rPr>
        <w:t>shipping industry</w:t>
      </w:r>
      <w:r w:rsidRPr="000821B7">
        <w:rPr>
          <w:sz w:val="20"/>
          <w:szCs w:val="20"/>
        </w:rPr>
        <w:t xml:space="preserve"> </w:t>
      </w:r>
      <w:r w:rsidR="00127CC1" w:rsidRPr="000821B7">
        <w:rPr>
          <w:sz w:val="20"/>
          <w:szCs w:val="20"/>
        </w:rPr>
        <w:t>has</w:t>
      </w:r>
      <w:r w:rsidRPr="000821B7">
        <w:rPr>
          <w:sz w:val="20"/>
          <w:szCs w:val="20"/>
        </w:rPr>
        <w:t xml:space="preserve"> worked with the relevant UN bodies and made representations to the COVAX scheme</w:t>
      </w:r>
      <w:r w:rsidR="006C39AB" w:rsidRPr="000821B7">
        <w:rPr>
          <w:rStyle w:val="FootnoteReference"/>
          <w:sz w:val="20"/>
          <w:szCs w:val="20"/>
        </w:rPr>
        <w:footnoteReference w:id="2"/>
      </w:r>
      <w:r w:rsidR="00127CC1" w:rsidRPr="000821B7">
        <w:rPr>
          <w:sz w:val="20"/>
          <w:szCs w:val="20"/>
        </w:rPr>
        <w:t>, particularly since</w:t>
      </w:r>
      <w:r w:rsidRPr="000821B7">
        <w:rPr>
          <w:sz w:val="20"/>
          <w:szCs w:val="20"/>
        </w:rPr>
        <w:t xml:space="preserve"> m</w:t>
      </w:r>
      <w:r w:rsidR="00127CC1" w:rsidRPr="000821B7">
        <w:rPr>
          <w:sz w:val="20"/>
          <w:szCs w:val="20"/>
        </w:rPr>
        <w:t>ost</w:t>
      </w:r>
      <w:r w:rsidRPr="000821B7">
        <w:rPr>
          <w:sz w:val="20"/>
          <w:szCs w:val="20"/>
        </w:rPr>
        <w:t xml:space="preserve"> seafarers come from countries eligible for vaccines </w:t>
      </w:r>
      <w:r w:rsidR="006729D5" w:rsidRPr="000821B7">
        <w:rPr>
          <w:sz w:val="20"/>
          <w:szCs w:val="20"/>
        </w:rPr>
        <w:t>thro</w:t>
      </w:r>
      <w:r w:rsidR="00610F0F" w:rsidRPr="000821B7">
        <w:rPr>
          <w:sz w:val="20"/>
          <w:szCs w:val="20"/>
        </w:rPr>
        <w:t xml:space="preserve">ugh </w:t>
      </w:r>
      <w:r w:rsidRPr="000821B7">
        <w:rPr>
          <w:sz w:val="20"/>
          <w:szCs w:val="20"/>
        </w:rPr>
        <w:t xml:space="preserve">that </w:t>
      </w:r>
      <w:r w:rsidR="00821811" w:rsidRPr="000821B7">
        <w:rPr>
          <w:sz w:val="20"/>
          <w:szCs w:val="20"/>
        </w:rPr>
        <w:t>scheme. Similar</w:t>
      </w:r>
      <w:r w:rsidR="00561ED7" w:rsidRPr="000821B7">
        <w:rPr>
          <w:sz w:val="20"/>
          <w:szCs w:val="20"/>
        </w:rPr>
        <w:t xml:space="preserve">ly </w:t>
      </w:r>
      <w:r w:rsidR="00B27BCC" w:rsidRPr="000821B7">
        <w:rPr>
          <w:sz w:val="20"/>
          <w:szCs w:val="20"/>
        </w:rPr>
        <w:t>the shipping industry</w:t>
      </w:r>
      <w:r w:rsidR="00561ED7" w:rsidRPr="000821B7">
        <w:rPr>
          <w:sz w:val="20"/>
          <w:szCs w:val="20"/>
        </w:rPr>
        <w:t xml:space="preserve"> have approached</w:t>
      </w:r>
      <w:r w:rsidR="00821811" w:rsidRPr="000821B7">
        <w:rPr>
          <w:sz w:val="20"/>
          <w:szCs w:val="20"/>
        </w:rPr>
        <w:t xml:space="preserve"> the pharmaceutical industry</w:t>
      </w:r>
      <w:r w:rsidR="00192038">
        <w:rPr>
          <w:sz w:val="20"/>
          <w:szCs w:val="20"/>
        </w:rPr>
        <w:t xml:space="preserve"> for access to vaccines for seafarers</w:t>
      </w:r>
      <w:r w:rsidR="00821811" w:rsidRPr="000821B7">
        <w:rPr>
          <w:sz w:val="20"/>
          <w:szCs w:val="20"/>
        </w:rPr>
        <w:t xml:space="preserve">. </w:t>
      </w:r>
    </w:p>
    <w:p w14:paraId="4DF721E7" w14:textId="4EAD0ED0" w:rsidR="008D1508" w:rsidRDefault="00500ECB" w:rsidP="00FF2D11">
      <w:pPr>
        <w:jc w:val="both"/>
        <w:rPr>
          <w:lang w:val="en-IE"/>
        </w:rPr>
      </w:pPr>
      <w:r w:rsidRPr="008D1508">
        <w:rPr>
          <w:sz w:val="20"/>
          <w:szCs w:val="20"/>
        </w:rPr>
        <w:t xml:space="preserve">Multiple </w:t>
      </w:r>
      <w:r w:rsidR="007A42EE" w:rsidRPr="008D1508">
        <w:rPr>
          <w:bCs/>
          <w:sz w:val="20"/>
          <w:szCs w:val="20"/>
        </w:rPr>
        <w:t>UN agencies</w:t>
      </w:r>
      <w:r w:rsidR="00192038">
        <w:rPr>
          <w:bCs/>
          <w:sz w:val="20"/>
          <w:szCs w:val="20"/>
        </w:rPr>
        <w:t xml:space="preserve"> including the WHO and IMO</w:t>
      </w:r>
      <w:r w:rsidR="007A42EE" w:rsidRPr="008D1508">
        <w:rPr>
          <w:bCs/>
          <w:sz w:val="20"/>
          <w:szCs w:val="20"/>
        </w:rPr>
        <w:t xml:space="preserve"> have confi</w:t>
      </w:r>
      <w:r w:rsidRPr="008D1508">
        <w:rPr>
          <w:bCs/>
          <w:sz w:val="20"/>
          <w:szCs w:val="20"/>
        </w:rPr>
        <w:t xml:space="preserve">rmed </w:t>
      </w:r>
      <w:r w:rsidR="00821811" w:rsidRPr="008D1508">
        <w:rPr>
          <w:bCs/>
          <w:sz w:val="20"/>
          <w:szCs w:val="20"/>
        </w:rPr>
        <w:t xml:space="preserve">that </w:t>
      </w:r>
      <w:r w:rsidRPr="008D1508">
        <w:rPr>
          <w:bCs/>
          <w:sz w:val="20"/>
          <w:szCs w:val="20"/>
        </w:rPr>
        <w:t xml:space="preserve">currently </w:t>
      </w:r>
      <w:r w:rsidR="00821811" w:rsidRPr="008D1508">
        <w:rPr>
          <w:bCs/>
          <w:sz w:val="20"/>
          <w:szCs w:val="20"/>
        </w:rPr>
        <w:t xml:space="preserve">vaccines are not available for purchase by </w:t>
      </w:r>
      <w:r w:rsidR="000F3087">
        <w:rPr>
          <w:bCs/>
          <w:sz w:val="20"/>
          <w:szCs w:val="20"/>
        </w:rPr>
        <w:t>a private entity</w:t>
      </w:r>
      <w:r w:rsidR="000F3087" w:rsidRPr="008D1508">
        <w:rPr>
          <w:bCs/>
          <w:sz w:val="20"/>
          <w:szCs w:val="20"/>
        </w:rPr>
        <w:t xml:space="preserve"> </w:t>
      </w:r>
      <w:r w:rsidR="000F3087">
        <w:rPr>
          <w:bCs/>
          <w:sz w:val="20"/>
          <w:szCs w:val="20"/>
        </w:rPr>
        <w:t>unless</w:t>
      </w:r>
      <w:r w:rsidR="000F3087" w:rsidRPr="008D1508">
        <w:rPr>
          <w:bCs/>
          <w:sz w:val="20"/>
          <w:szCs w:val="20"/>
        </w:rPr>
        <w:t xml:space="preserve"> </w:t>
      </w:r>
      <w:r w:rsidR="00821811" w:rsidRPr="008D1508">
        <w:rPr>
          <w:bCs/>
          <w:sz w:val="20"/>
          <w:szCs w:val="20"/>
        </w:rPr>
        <w:t>a State</w:t>
      </w:r>
      <w:r w:rsidR="00192038">
        <w:rPr>
          <w:bCs/>
          <w:sz w:val="20"/>
          <w:szCs w:val="20"/>
        </w:rPr>
        <w:t xml:space="preserve"> agency</w:t>
      </w:r>
      <w:r w:rsidR="000F3087">
        <w:rPr>
          <w:bCs/>
          <w:sz w:val="20"/>
          <w:szCs w:val="20"/>
        </w:rPr>
        <w:t xml:space="preserve"> is directly involved</w:t>
      </w:r>
      <w:r w:rsidR="00192038">
        <w:rPr>
          <w:bCs/>
          <w:sz w:val="20"/>
          <w:szCs w:val="20"/>
        </w:rPr>
        <w:t xml:space="preserve">. It is noted that some public private partnerships have been established notably in the Philippines, however, these are also run by State agencies. </w:t>
      </w:r>
    </w:p>
    <w:p w14:paraId="592ECFA8" w14:textId="77777777" w:rsidR="00CC4637" w:rsidRPr="000821B7" w:rsidRDefault="00CC4637" w:rsidP="00FF2D11">
      <w:pPr>
        <w:pStyle w:val="NoSpacing"/>
        <w:jc w:val="both"/>
        <w:rPr>
          <w:sz w:val="20"/>
          <w:szCs w:val="20"/>
        </w:rPr>
      </w:pPr>
    </w:p>
    <w:p w14:paraId="20859E46" w14:textId="3D3A60D0" w:rsidR="00F96CEA" w:rsidRDefault="00567CC1" w:rsidP="00FF2D11">
      <w:pPr>
        <w:pStyle w:val="NoSpacing"/>
        <w:jc w:val="both"/>
        <w:rPr>
          <w:sz w:val="20"/>
          <w:szCs w:val="20"/>
        </w:rPr>
      </w:pPr>
      <w:r w:rsidRPr="000821B7">
        <w:rPr>
          <w:sz w:val="20"/>
          <w:szCs w:val="20"/>
        </w:rPr>
        <w:t xml:space="preserve">Many </w:t>
      </w:r>
      <w:r w:rsidR="00441270" w:rsidRPr="000821B7">
        <w:rPr>
          <w:sz w:val="20"/>
          <w:szCs w:val="20"/>
        </w:rPr>
        <w:t>s</w:t>
      </w:r>
      <w:r w:rsidR="00441270">
        <w:rPr>
          <w:sz w:val="20"/>
          <w:szCs w:val="20"/>
        </w:rPr>
        <w:t>h</w:t>
      </w:r>
      <w:r w:rsidR="00441270" w:rsidRPr="000821B7">
        <w:rPr>
          <w:sz w:val="20"/>
          <w:szCs w:val="20"/>
        </w:rPr>
        <w:t>ip</w:t>
      </w:r>
      <w:r w:rsidRPr="000821B7">
        <w:rPr>
          <w:sz w:val="20"/>
          <w:szCs w:val="20"/>
        </w:rPr>
        <w:t xml:space="preserve"> owners</w:t>
      </w:r>
      <w:r w:rsidR="00E71BDE" w:rsidRPr="000821B7">
        <w:rPr>
          <w:sz w:val="20"/>
          <w:szCs w:val="20"/>
        </w:rPr>
        <w:t xml:space="preserve"> and managers</w:t>
      </w:r>
      <w:r w:rsidRPr="000821B7">
        <w:rPr>
          <w:sz w:val="20"/>
          <w:szCs w:val="20"/>
        </w:rPr>
        <w:t xml:space="preserve"> </w:t>
      </w:r>
      <w:r w:rsidR="000F3087">
        <w:rPr>
          <w:sz w:val="20"/>
          <w:szCs w:val="20"/>
        </w:rPr>
        <w:t>have</w:t>
      </w:r>
      <w:r w:rsidR="000F3087" w:rsidRPr="000821B7">
        <w:rPr>
          <w:sz w:val="20"/>
          <w:szCs w:val="20"/>
        </w:rPr>
        <w:t xml:space="preserve"> report</w:t>
      </w:r>
      <w:r w:rsidR="000F3087">
        <w:rPr>
          <w:sz w:val="20"/>
          <w:szCs w:val="20"/>
        </w:rPr>
        <w:t>ed</w:t>
      </w:r>
      <w:r w:rsidR="000F3087" w:rsidRPr="000821B7">
        <w:rPr>
          <w:sz w:val="20"/>
          <w:szCs w:val="20"/>
        </w:rPr>
        <w:t xml:space="preserve"> </w:t>
      </w:r>
      <w:r w:rsidR="0010600A" w:rsidRPr="000821B7">
        <w:rPr>
          <w:sz w:val="20"/>
          <w:szCs w:val="20"/>
        </w:rPr>
        <w:t xml:space="preserve">that they </w:t>
      </w:r>
      <w:r w:rsidRPr="000821B7">
        <w:rPr>
          <w:sz w:val="20"/>
          <w:szCs w:val="20"/>
        </w:rPr>
        <w:t xml:space="preserve">have been approached </w:t>
      </w:r>
      <w:r w:rsidR="00821811" w:rsidRPr="000821B7">
        <w:rPr>
          <w:sz w:val="20"/>
          <w:szCs w:val="20"/>
        </w:rPr>
        <w:t xml:space="preserve">by private entities offering </w:t>
      </w:r>
      <w:r w:rsidR="00431807" w:rsidRPr="000821B7">
        <w:rPr>
          <w:sz w:val="20"/>
          <w:szCs w:val="20"/>
        </w:rPr>
        <w:t xml:space="preserve">to provide </w:t>
      </w:r>
      <w:r w:rsidR="00821811" w:rsidRPr="000821B7">
        <w:rPr>
          <w:sz w:val="20"/>
          <w:szCs w:val="20"/>
        </w:rPr>
        <w:t>vaccines</w:t>
      </w:r>
      <w:r w:rsidR="00431807" w:rsidRPr="000821B7">
        <w:rPr>
          <w:sz w:val="20"/>
          <w:szCs w:val="20"/>
        </w:rPr>
        <w:t xml:space="preserve"> to seafarers</w:t>
      </w:r>
      <w:r w:rsidR="00821811" w:rsidRPr="000821B7">
        <w:rPr>
          <w:sz w:val="20"/>
          <w:szCs w:val="20"/>
        </w:rPr>
        <w:t xml:space="preserve">. The industry group would caution </w:t>
      </w:r>
      <w:r w:rsidR="00063A4B" w:rsidRPr="000821B7">
        <w:rPr>
          <w:sz w:val="20"/>
          <w:szCs w:val="20"/>
        </w:rPr>
        <w:t xml:space="preserve">against </w:t>
      </w:r>
      <w:r w:rsidR="00821811" w:rsidRPr="000821B7">
        <w:rPr>
          <w:sz w:val="20"/>
          <w:szCs w:val="20"/>
        </w:rPr>
        <w:t xml:space="preserve">the use of </w:t>
      </w:r>
      <w:r w:rsidR="000F3087">
        <w:rPr>
          <w:sz w:val="20"/>
          <w:szCs w:val="20"/>
        </w:rPr>
        <w:t>privately obtained</w:t>
      </w:r>
      <w:r w:rsidR="000F3087" w:rsidRPr="000821B7">
        <w:rPr>
          <w:sz w:val="20"/>
          <w:szCs w:val="20"/>
        </w:rPr>
        <w:t xml:space="preserve"> </w:t>
      </w:r>
      <w:r w:rsidR="00821811" w:rsidRPr="000821B7">
        <w:rPr>
          <w:sz w:val="20"/>
          <w:szCs w:val="20"/>
        </w:rPr>
        <w:t xml:space="preserve">vaccines as their </w:t>
      </w:r>
      <w:r w:rsidR="000F3087">
        <w:rPr>
          <w:sz w:val="20"/>
          <w:szCs w:val="20"/>
        </w:rPr>
        <w:t>legitimacy and efficacy</w:t>
      </w:r>
      <w:r w:rsidR="000F3087" w:rsidRPr="000821B7">
        <w:rPr>
          <w:sz w:val="20"/>
          <w:szCs w:val="20"/>
        </w:rPr>
        <w:t xml:space="preserve"> </w:t>
      </w:r>
      <w:r w:rsidR="00821811" w:rsidRPr="000821B7">
        <w:rPr>
          <w:sz w:val="20"/>
          <w:szCs w:val="20"/>
        </w:rPr>
        <w:t>may be question</w:t>
      </w:r>
      <w:r w:rsidR="0095157E" w:rsidRPr="000821B7">
        <w:rPr>
          <w:sz w:val="20"/>
          <w:szCs w:val="20"/>
        </w:rPr>
        <w:t>able</w:t>
      </w:r>
      <w:r w:rsidR="00821811" w:rsidRPr="000821B7">
        <w:rPr>
          <w:sz w:val="20"/>
          <w:szCs w:val="20"/>
        </w:rPr>
        <w:t>.</w:t>
      </w:r>
      <w:r w:rsidR="0095157E" w:rsidRPr="000821B7">
        <w:rPr>
          <w:sz w:val="20"/>
          <w:szCs w:val="20"/>
        </w:rPr>
        <w:t xml:space="preserve"> </w:t>
      </w:r>
    </w:p>
    <w:p w14:paraId="76A807EA" w14:textId="77777777" w:rsidR="00821811" w:rsidRPr="000821B7" w:rsidRDefault="00821811" w:rsidP="00FF2D11">
      <w:pPr>
        <w:pStyle w:val="NoSpacing"/>
        <w:jc w:val="both"/>
        <w:rPr>
          <w:sz w:val="20"/>
          <w:szCs w:val="20"/>
        </w:rPr>
      </w:pPr>
    </w:p>
    <w:p w14:paraId="21B6D552" w14:textId="0C5CF790" w:rsidR="002B2526" w:rsidRDefault="00821811" w:rsidP="00FF2D11">
      <w:pPr>
        <w:pStyle w:val="NoSpacing"/>
        <w:jc w:val="both"/>
        <w:rPr>
          <w:sz w:val="20"/>
          <w:szCs w:val="20"/>
        </w:rPr>
      </w:pPr>
      <w:r w:rsidRPr="000821B7">
        <w:rPr>
          <w:sz w:val="20"/>
          <w:szCs w:val="20"/>
        </w:rPr>
        <w:t xml:space="preserve">The </w:t>
      </w:r>
      <w:r w:rsidR="00B27BCC" w:rsidRPr="000821B7">
        <w:rPr>
          <w:sz w:val="20"/>
          <w:szCs w:val="20"/>
        </w:rPr>
        <w:t xml:space="preserve">shipping </w:t>
      </w:r>
      <w:r w:rsidRPr="000821B7">
        <w:rPr>
          <w:sz w:val="20"/>
          <w:szCs w:val="20"/>
        </w:rPr>
        <w:t xml:space="preserve">industry group remains </w:t>
      </w:r>
      <w:r w:rsidR="000A1BA7" w:rsidRPr="000821B7">
        <w:rPr>
          <w:sz w:val="20"/>
          <w:szCs w:val="20"/>
        </w:rPr>
        <w:t xml:space="preserve">committed </w:t>
      </w:r>
      <w:r w:rsidRPr="000821B7">
        <w:rPr>
          <w:sz w:val="20"/>
          <w:szCs w:val="20"/>
        </w:rPr>
        <w:t>to ensur</w:t>
      </w:r>
      <w:r w:rsidR="00AA301F" w:rsidRPr="000821B7">
        <w:rPr>
          <w:sz w:val="20"/>
          <w:szCs w:val="20"/>
        </w:rPr>
        <w:t>ing</w:t>
      </w:r>
      <w:r w:rsidRPr="000821B7">
        <w:rPr>
          <w:sz w:val="20"/>
          <w:szCs w:val="20"/>
        </w:rPr>
        <w:t xml:space="preserve"> that seafarers are properly vaccinated using WHO</w:t>
      </w:r>
      <w:r w:rsidR="00B27BCC" w:rsidRPr="000821B7">
        <w:rPr>
          <w:sz w:val="20"/>
          <w:szCs w:val="20"/>
        </w:rPr>
        <w:t xml:space="preserve"> EUL </w:t>
      </w:r>
      <w:r w:rsidR="00651CED" w:rsidRPr="000821B7">
        <w:rPr>
          <w:sz w:val="20"/>
          <w:szCs w:val="20"/>
        </w:rPr>
        <w:t>approved</w:t>
      </w:r>
      <w:r w:rsidRPr="000821B7">
        <w:rPr>
          <w:sz w:val="20"/>
          <w:szCs w:val="20"/>
        </w:rPr>
        <w:t xml:space="preserve"> vaccines provided by appropriate </w:t>
      </w:r>
      <w:r w:rsidR="00C434F4">
        <w:rPr>
          <w:sz w:val="20"/>
          <w:szCs w:val="20"/>
        </w:rPr>
        <w:t xml:space="preserve">State </w:t>
      </w:r>
      <w:r w:rsidRPr="000821B7">
        <w:rPr>
          <w:sz w:val="20"/>
          <w:szCs w:val="20"/>
        </w:rPr>
        <w:t>agencies</w:t>
      </w:r>
      <w:bookmarkStart w:id="0" w:name="_GoBack"/>
      <w:bookmarkEnd w:id="0"/>
      <w:r w:rsidRPr="000821B7">
        <w:rPr>
          <w:sz w:val="20"/>
          <w:szCs w:val="20"/>
        </w:rPr>
        <w:t xml:space="preserve">. </w:t>
      </w:r>
      <w:r w:rsidR="002B2526" w:rsidRPr="000821B7">
        <w:rPr>
          <w:sz w:val="20"/>
          <w:szCs w:val="20"/>
        </w:rPr>
        <w:t>It is hoped that private vaccinations will be available in most countries soon</w:t>
      </w:r>
      <w:r w:rsidR="00C434F4">
        <w:rPr>
          <w:sz w:val="20"/>
          <w:szCs w:val="20"/>
        </w:rPr>
        <w:t xml:space="preserve">. </w:t>
      </w:r>
      <w:r w:rsidR="00192038">
        <w:rPr>
          <w:sz w:val="20"/>
          <w:szCs w:val="20"/>
        </w:rPr>
        <w:t>Industry organisations will continue to lobby for the vaccination of seafarers at the earliest point.</w:t>
      </w:r>
    </w:p>
    <w:p w14:paraId="043DCBF9" w14:textId="77777777" w:rsidR="00192038" w:rsidRDefault="00192038" w:rsidP="002B2526">
      <w:pPr>
        <w:pStyle w:val="NoSpacing"/>
        <w:rPr>
          <w:sz w:val="20"/>
          <w:szCs w:val="20"/>
        </w:rPr>
      </w:pPr>
    </w:p>
    <w:p w14:paraId="53D77DF9" w14:textId="0D08ABBA" w:rsidR="00192038" w:rsidRPr="000821B7" w:rsidRDefault="00192038" w:rsidP="0019203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4A94BD5A" w14:textId="77777777" w:rsidR="005E1694" w:rsidRPr="000821B7" w:rsidRDefault="005E1694" w:rsidP="005F3D97">
      <w:pPr>
        <w:pStyle w:val="NoSpacing"/>
        <w:rPr>
          <w:sz w:val="20"/>
          <w:szCs w:val="20"/>
        </w:rPr>
      </w:pPr>
    </w:p>
    <w:p w14:paraId="27448C41" w14:textId="7E22678D" w:rsidR="00821811" w:rsidRPr="00A571B9" w:rsidRDefault="00821811" w:rsidP="00567CC1">
      <w:pPr>
        <w:pStyle w:val="NoSpacing"/>
      </w:pPr>
    </w:p>
    <w:sectPr w:rsidR="00821811" w:rsidRPr="00A571B9" w:rsidSect="002B2526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038DC" w14:textId="77777777" w:rsidR="006228FB" w:rsidRDefault="006228FB" w:rsidP="006C39AB">
      <w:r>
        <w:separator/>
      </w:r>
    </w:p>
  </w:endnote>
  <w:endnote w:type="continuationSeparator" w:id="0">
    <w:p w14:paraId="5D188E16" w14:textId="77777777" w:rsidR="006228FB" w:rsidRDefault="006228FB" w:rsidP="006C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D0FED" w14:textId="77777777" w:rsidR="006228FB" w:rsidRDefault="006228FB" w:rsidP="006C39AB">
      <w:r>
        <w:separator/>
      </w:r>
    </w:p>
  </w:footnote>
  <w:footnote w:type="continuationSeparator" w:id="0">
    <w:p w14:paraId="4EF654C7" w14:textId="77777777" w:rsidR="006228FB" w:rsidRDefault="006228FB" w:rsidP="006C39AB">
      <w:r>
        <w:continuationSeparator/>
      </w:r>
    </w:p>
  </w:footnote>
  <w:footnote w:id="1">
    <w:p w14:paraId="556E046F" w14:textId="75752151" w:rsidR="00BE69A8" w:rsidRDefault="00BE69A8">
      <w:pPr>
        <w:pStyle w:val="FootnoteText"/>
      </w:pPr>
      <w:r>
        <w:rPr>
          <w:rStyle w:val="FootnoteReference"/>
        </w:rPr>
        <w:footnoteRef/>
      </w:r>
      <w:r>
        <w:t xml:space="preserve"> This note has been developed by </w:t>
      </w:r>
      <w:r w:rsidRPr="000821B7">
        <w:rPr>
          <w:b/>
          <w:sz w:val="20"/>
        </w:rPr>
        <w:t xml:space="preserve">ICS, BIMCO, CLIA, ECSA, ICMA, IMCA, IMEC, IMHA, INTERCARGO, InterManager, INTERTANKO, </w:t>
      </w:r>
      <w:r w:rsidR="00C434F4">
        <w:rPr>
          <w:b/>
          <w:sz w:val="20"/>
        </w:rPr>
        <w:t xml:space="preserve">ISOA, </w:t>
      </w:r>
      <w:r w:rsidRPr="000821B7">
        <w:rPr>
          <w:b/>
          <w:sz w:val="20"/>
        </w:rPr>
        <w:t>ITF and WSC.</w:t>
      </w:r>
    </w:p>
  </w:footnote>
  <w:footnote w:id="2">
    <w:p w14:paraId="577A6CF1" w14:textId="12AEA518" w:rsidR="006C39AB" w:rsidRDefault="006C39AB">
      <w:pPr>
        <w:pStyle w:val="FootnoteText"/>
        <w:rPr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6C39AB">
        <w:rPr>
          <w:szCs w:val="22"/>
        </w:rPr>
        <w:t>COVID-19 Vaccines Global Access, abbreviated as COVAX, is a global initiative aimed at equitable access to COVID-19 vaccines led by UNICEF, </w:t>
      </w:r>
      <w:proofErr w:type="spellStart"/>
      <w:r w:rsidRPr="006C39AB">
        <w:rPr>
          <w:szCs w:val="22"/>
        </w:rPr>
        <w:t>Gavi</w:t>
      </w:r>
      <w:proofErr w:type="spellEnd"/>
      <w:r w:rsidRPr="006C39AB">
        <w:rPr>
          <w:szCs w:val="22"/>
        </w:rPr>
        <w:t>, WHO, CEPI, and others.</w:t>
      </w:r>
      <w:r>
        <w:rPr>
          <w:szCs w:val="22"/>
        </w:rPr>
        <w:t xml:space="preserve"> For further information see: </w:t>
      </w:r>
      <w:hyperlink r:id="rId1" w:history="1">
        <w:r w:rsidRPr="0008768F">
          <w:rPr>
            <w:rStyle w:val="Hyperlink"/>
            <w:szCs w:val="22"/>
          </w:rPr>
          <w:t>https://www.who.int/initiatives/act-accelerator/covax</w:t>
        </w:r>
      </w:hyperlink>
    </w:p>
    <w:p w14:paraId="2D9F9AF9" w14:textId="77777777" w:rsidR="006C39AB" w:rsidRDefault="006C39A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191D5D"/>
    <w:multiLevelType w:val="hybridMultilevel"/>
    <w:tmpl w:val="4B3A5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5FC72BC"/>
    <w:multiLevelType w:val="hybridMultilevel"/>
    <w:tmpl w:val="60728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9FA78D8"/>
    <w:multiLevelType w:val="hybridMultilevel"/>
    <w:tmpl w:val="B2E6B128"/>
    <w:lvl w:ilvl="0" w:tplc="EAE26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05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AE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62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E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48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E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29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EF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76608B"/>
    <w:multiLevelType w:val="hybridMultilevel"/>
    <w:tmpl w:val="88967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8"/>
  </w:num>
  <w:num w:numId="22">
    <w:abstractNumId w:val="11"/>
  </w:num>
  <w:num w:numId="23">
    <w:abstractNumId w:val="26"/>
  </w:num>
  <w:num w:numId="24">
    <w:abstractNumId w:val="25"/>
  </w:num>
  <w:num w:numId="25">
    <w:abstractNumId w:val="20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SINGLE SPACED (BLANK)"/>
  </w:docVars>
  <w:rsids>
    <w:rsidRoot w:val="00567CC1"/>
    <w:rsid w:val="00063A4B"/>
    <w:rsid w:val="000821B7"/>
    <w:rsid w:val="00096557"/>
    <w:rsid w:val="000A1BA7"/>
    <w:rsid w:val="000C0495"/>
    <w:rsid w:val="000F3087"/>
    <w:rsid w:val="0010158C"/>
    <w:rsid w:val="0010600A"/>
    <w:rsid w:val="00127CC1"/>
    <w:rsid w:val="00192038"/>
    <w:rsid w:val="00194BA3"/>
    <w:rsid w:val="00210402"/>
    <w:rsid w:val="002B2526"/>
    <w:rsid w:val="002D3AEE"/>
    <w:rsid w:val="00361DAA"/>
    <w:rsid w:val="00374A82"/>
    <w:rsid w:val="00391041"/>
    <w:rsid w:val="003A605A"/>
    <w:rsid w:val="00431807"/>
    <w:rsid w:val="00441270"/>
    <w:rsid w:val="00457557"/>
    <w:rsid w:val="004859F9"/>
    <w:rsid w:val="00500ECB"/>
    <w:rsid w:val="00561ED7"/>
    <w:rsid w:val="00567CC1"/>
    <w:rsid w:val="00583C42"/>
    <w:rsid w:val="005A1A08"/>
    <w:rsid w:val="005B51BA"/>
    <w:rsid w:val="005E1694"/>
    <w:rsid w:val="005E2619"/>
    <w:rsid w:val="005F3D97"/>
    <w:rsid w:val="00606FF8"/>
    <w:rsid w:val="00610F0F"/>
    <w:rsid w:val="0061218B"/>
    <w:rsid w:val="006228FB"/>
    <w:rsid w:val="00645252"/>
    <w:rsid w:val="006477E2"/>
    <w:rsid w:val="00651CED"/>
    <w:rsid w:val="006729D5"/>
    <w:rsid w:val="006C2621"/>
    <w:rsid w:val="006C39AB"/>
    <w:rsid w:val="006C4421"/>
    <w:rsid w:val="006D3D74"/>
    <w:rsid w:val="006F36B0"/>
    <w:rsid w:val="0070770D"/>
    <w:rsid w:val="00717915"/>
    <w:rsid w:val="00754E7D"/>
    <w:rsid w:val="007A42EE"/>
    <w:rsid w:val="007D72C0"/>
    <w:rsid w:val="007F3006"/>
    <w:rsid w:val="00821811"/>
    <w:rsid w:val="0083569A"/>
    <w:rsid w:val="00836B11"/>
    <w:rsid w:val="008B0FA9"/>
    <w:rsid w:val="008D1508"/>
    <w:rsid w:val="008D72AE"/>
    <w:rsid w:val="00942F84"/>
    <w:rsid w:val="0095157E"/>
    <w:rsid w:val="009B4720"/>
    <w:rsid w:val="009C52D7"/>
    <w:rsid w:val="00A55084"/>
    <w:rsid w:val="00A571B9"/>
    <w:rsid w:val="00A86295"/>
    <w:rsid w:val="00A9204E"/>
    <w:rsid w:val="00A95163"/>
    <w:rsid w:val="00AA301F"/>
    <w:rsid w:val="00AA691C"/>
    <w:rsid w:val="00AB212A"/>
    <w:rsid w:val="00B24784"/>
    <w:rsid w:val="00B27BCC"/>
    <w:rsid w:val="00B53BDA"/>
    <w:rsid w:val="00BA1826"/>
    <w:rsid w:val="00BA59BE"/>
    <w:rsid w:val="00BE69A8"/>
    <w:rsid w:val="00C0461A"/>
    <w:rsid w:val="00C12344"/>
    <w:rsid w:val="00C434F4"/>
    <w:rsid w:val="00CC4637"/>
    <w:rsid w:val="00CF5998"/>
    <w:rsid w:val="00D0551F"/>
    <w:rsid w:val="00D24401"/>
    <w:rsid w:val="00D96F3C"/>
    <w:rsid w:val="00DC494F"/>
    <w:rsid w:val="00E14174"/>
    <w:rsid w:val="00E32AAA"/>
    <w:rsid w:val="00E532E3"/>
    <w:rsid w:val="00E71BDE"/>
    <w:rsid w:val="00F46116"/>
    <w:rsid w:val="00F66A60"/>
    <w:rsid w:val="00F8207C"/>
    <w:rsid w:val="00F96CEA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FF97"/>
  <w15:chartTrackingRefBased/>
  <w15:docId w15:val="{838D3CCC-775D-40A0-BB4F-669457E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694"/>
    <w:rPr>
      <w:rFonts w:ascii="Calibri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1F4E79" w:themeColor="accent1" w:themeShade="8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hAnsiTheme="minorHAnsi" w:cstheme="minorBidi"/>
      <w:i/>
      <w:iCs/>
      <w:color w:val="44546A" w:themeColor="text2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hAnsiTheme="minorHAnsi" w:cstheme="minorBidi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hAnsiTheme="minorHAnsi" w:cstheme="minorBidi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hAnsiTheme="minorHAnsi" w:cstheme="minorBidi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567CC1"/>
    <w:rPr>
      <w:lang w:val="en-GB"/>
    </w:rPr>
  </w:style>
  <w:style w:type="paragraph" w:styleId="ListParagraph">
    <w:name w:val="List Paragraph"/>
    <w:basedOn w:val="Normal"/>
    <w:uiPriority w:val="34"/>
    <w:qFormat/>
    <w:rsid w:val="00C1234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C3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4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3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initiatives/act-accelerator/cova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1354D-AB8B-4BB9-8402-71D00787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Belcher</dc:creator>
  <cp:keywords/>
  <dc:description/>
  <cp:lastModifiedBy>Phillip Belcher</cp:lastModifiedBy>
  <cp:revision>2</cp:revision>
  <dcterms:created xsi:type="dcterms:W3CDTF">2021-03-29T05:59:00Z</dcterms:created>
  <dcterms:modified xsi:type="dcterms:W3CDTF">2021-03-29T05:59:00Z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